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 w:val="0"/>
          <w:color w:val="B91C1C"/>
          <w:sz w:val="60"/>
        </w:rPr>
        <w:t>Daniel Herrero Sanz</w:t>
      </w:r>
    </w:p>
    <w:p>
      <w:pPr>
        <w:spacing w:before="0" w:after="160"/>
      </w:pPr>
      <w:r>
        <w:rPr>
          <w:b w:val="0"/>
          <w:color w:val="64748B"/>
          <w:sz w:val="20"/>
          <w:spacing w:val="40"/>
        </w:rPr>
        <w:t>JEFE DE OBRA</w:t>
      </w:r>
    </w:p>
    <w:p>
      <w:pPr>
        <w:spacing w:before="0" w:after="280"/>
      </w:pPr>
      <w:r>
        <w:rPr>
          <w:b w:val="0"/>
          <w:color w:val="64748B"/>
          <w:sz w:val="18"/>
        </w:rPr>
        <w:t>627 941 530   ·   daniel.herrero@correoejemplo.es   ·   Valladolid   ·   linkedin.com/in/danielherrerosanz</w:t>
      </w:r>
    </w:p>
    <w:p>
      <w:pPr>
        <w:spacing w:before="0" w:after="120"/>
      </w:pPr>
      <w:r>
        <w:rPr>
          <w:b w:val="0"/>
          <w:sz w:val="23"/>
        </w:rPr>
        <w:t>Jefe de obra con 15 años en edificación residencial e industrial. He dirigido 18 obras de hasta 9 millones de euros, con equipos propios y subcontratas. Controlo plazos, costes y seguridad con números semanales y me entiendo bien con promotores y dirección facultativa.</w:t>
      </w:r>
    </w:p>
    <w:p>
      <w:pPr>
        <w:spacing w:before="400" w:after="120"/>
      </w:pPr>
      <w:r>
        <w:rPr>
          <w:b/>
          <w:color w:val="64748B"/>
          <w:sz w:val="18"/>
          <w:spacing w:val="50"/>
        </w:rPr>
        <w:t>EXPERIENCIA</w:t>
      </w:r>
    </w:p>
    <w:tbl>
      <w:tblPr>
        <w:tblW w:type="dxa" w:w="9072"/>
        <w:tblLayout w:type="fixed"/>
        <w:tblLook w:firstColumn="1" w:firstRow="1" w:lastColumn="0" w:lastRow="0" w:noHBand="0" w:noVBand="1" w:val="04A0"/>
      </w:tblPr>
      <w:tblGrid>
        <w:gridCol w:w="7030"/>
        <w:gridCol w:w="2041"/>
      </w:tblGrid>
      <w:tr>
        <w:tc>
          <w:tcPr>
            <w:tcW w:type="dxa" w:w="7030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142" w:lineRule="exact"/>
            </w:pPr>
            <w:r>
              <w:rPr>
                <w:b w:val="0"/>
                <w:sz w:val="2"/>
              </w:rPr>
              <w:t xml:space="preserve"> </w:t>
            </w:r>
          </w:p>
          <w:p>
            <w:pPr>
              <w:spacing w:before="0" w:after="0"/>
            </w:pPr>
            <w:r>
              <w:rPr>
                <w:b/>
                <w:sz w:val="23"/>
              </w:rPr>
              <w:t>Jefe de obra</w:t>
            </w:r>
            <w:r>
              <w:rPr>
                <w:b w:val="0"/>
                <w:color w:val="64748B"/>
                <w:sz w:val="20"/>
              </w:rPr>
              <w:t xml:space="preserve">   Construcciones Pisuerga, Valladolid</w:t>
            </w:r>
          </w:p>
        </w:tc>
        <w:tc>
          <w:tcPr>
            <w:tcW w:type="dxa" w:w="2041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142" w:lineRule="exact"/>
            </w:pPr>
            <w:r>
              <w:rPr>
                <w:b w:val="0"/>
                <w:sz w:val="2"/>
              </w:rPr>
              <w:t xml:space="preserve"> </w:t>
            </w:r>
          </w:p>
          <w:p>
            <w:pPr>
              <w:spacing w:before="0" w:after="0"/>
              <w:jc w:val="right"/>
            </w:pPr>
            <w:r>
              <w:rPr>
                <w:b w:val="0"/>
                <w:color w:val="64748B"/>
                <w:sz w:val="19"/>
              </w:rPr>
              <w:t>2018 – Actualidad</w:t>
            </w:r>
          </w:p>
        </w:tc>
      </w:tr>
    </w:tbl>
    <w:p>
      <w:pPr>
        <w:spacing w:before="0" w:after="40"/>
        <w:ind w:left="255" w:hanging="255"/>
      </w:pPr>
      <w:r>
        <w:rPr>
          <w:b w:val="0"/>
          <w:sz w:val="21"/>
        </w:rPr>
        <w:t>–  12 obras entregadas, la mayor de 96 viviendas y 9 M€.</w:t>
      </w:r>
    </w:p>
    <w:p>
      <w:pPr>
        <w:spacing w:before="0" w:after="40"/>
        <w:ind w:left="255" w:hanging="255"/>
      </w:pPr>
      <w:r>
        <w:rPr>
          <w:b w:val="0"/>
          <w:sz w:val="21"/>
        </w:rPr>
        <w:t>–  Desviación media de coste del 1,8 % sobre presupuesto.</w:t>
      </w:r>
    </w:p>
    <w:p>
      <w:pPr>
        <w:spacing w:before="0" w:after="40"/>
        <w:ind w:left="255" w:hanging="255"/>
      </w:pPr>
      <w:r>
        <w:rPr>
          <w:b w:val="0"/>
          <w:sz w:val="21"/>
        </w:rPr>
        <w:t>–  Cero accidentes graves en los últimos 5 años.</w:t>
      </w:r>
    </w:p>
    <w:tbl>
      <w:tblPr>
        <w:tblW w:type="dxa" w:w="9072"/>
        <w:tblLayout w:type="fixed"/>
        <w:tblLook w:firstColumn="1" w:firstRow="1" w:lastColumn="0" w:lastRow="0" w:noHBand="0" w:noVBand="1" w:val="04A0"/>
      </w:tblPr>
      <w:tblGrid>
        <w:gridCol w:w="7030"/>
        <w:gridCol w:w="2041"/>
      </w:tblGrid>
      <w:tr>
        <w:tc>
          <w:tcPr>
            <w:tcW w:type="dxa" w:w="7030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142" w:lineRule="exact"/>
            </w:pPr>
            <w:r>
              <w:rPr>
                <w:b w:val="0"/>
                <w:sz w:val="2"/>
              </w:rPr>
              <w:t xml:space="preserve"> </w:t>
            </w:r>
          </w:p>
          <w:p>
            <w:pPr>
              <w:spacing w:before="0" w:after="0"/>
            </w:pPr>
            <w:r>
              <w:rPr>
                <w:b/>
                <w:sz w:val="23"/>
              </w:rPr>
              <w:t>Jefe de producción</w:t>
            </w:r>
            <w:r>
              <w:rPr>
                <w:b w:val="0"/>
                <w:color w:val="64748B"/>
                <w:sz w:val="20"/>
              </w:rPr>
              <w:t xml:space="preserve">   Edificaciones Duero, Palencia</w:t>
            </w:r>
          </w:p>
        </w:tc>
        <w:tc>
          <w:tcPr>
            <w:tcW w:type="dxa" w:w="2041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142" w:lineRule="exact"/>
            </w:pPr>
            <w:r>
              <w:rPr>
                <w:b w:val="0"/>
                <w:sz w:val="2"/>
              </w:rPr>
              <w:t xml:space="preserve"> </w:t>
            </w:r>
          </w:p>
          <w:p>
            <w:pPr>
              <w:spacing w:before="0" w:after="0"/>
              <w:jc w:val="right"/>
            </w:pPr>
            <w:r>
              <w:rPr>
                <w:b w:val="0"/>
                <w:color w:val="64748B"/>
                <w:sz w:val="19"/>
              </w:rPr>
              <w:t>2014 – 2018</w:t>
            </w:r>
          </w:p>
        </w:tc>
      </w:tr>
    </w:tbl>
    <w:p>
      <w:pPr>
        <w:spacing w:before="0" w:after="40"/>
        <w:ind w:left="255" w:hanging="255"/>
      </w:pPr>
      <w:r>
        <w:rPr>
          <w:b w:val="0"/>
          <w:sz w:val="21"/>
        </w:rPr>
        <w:t>–  Planificación y certificaciones mensuales de 6 obras industriales.</w:t>
      </w:r>
    </w:p>
    <w:p>
      <w:pPr>
        <w:spacing w:before="0" w:after="40"/>
        <w:ind w:left="255" w:hanging="255"/>
      </w:pPr>
      <w:r>
        <w:rPr>
          <w:b w:val="0"/>
          <w:sz w:val="21"/>
        </w:rPr>
        <w:t>–  Negocié con subcontratas un ahorro del 7 % en estructura e instalaciones.</w:t>
      </w:r>
    </w:p>
    <w:tbl>
      <w:tblPr>
        <w:tblW w:type="dxa" w:w="9072"/>
        <w:tblLayout w:type="fixed"/>
        <w:tblLook w:firstColumn="1" w:firstRow="1" w:lastColumn="0" w:lastRow="0" w:noHBand="0" w:noVBand="1" w:val="04A0"/>
      </w:tblPr>
      <w:tblGrid>
        <w:gridCol w:w="7030"/>
        <w:gridCol w:w="2041"/>
      </w:tblGrid>
      <w:tr>
        <w:tc>
          <w:tcPr>
            <w:tcW w:type="dxa" w:w="7030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142" w:lineRule="exact"/>
            </w:pPr>
            <w:r>
              <w:rPr>
                <w:b w:val="0"/>
                <w:sz w:val="2"/>
              </w:rPr>
              <w:t xml:space="preserve"> </w:t>
            </w:r>
          </w:p>
          <w:p>
            <w:pPr>
              <w:spacing w:before="0" w:after="0"/>
            </w:pPr>
            <w:r>
              <w:rPr>
                <w:b/>
                <w:sz w:val="23"/>
              </w:rPr>
              <w:t>Técnico de oficina técnica</w:t>
            </w:r>
            <w:r>
              <w:rPr>
                <w:b w:val="0"/>
                <w:color w:val="64748B"/>
                <w:sz w:val="20"/>
              </w:rPr>
              <w:t xml:space="preserve">   Edificaciones Duero, Palencia</w:t>
            </w:r>
          </w:p>
        </w:tc>
        <w:tc>
          <w:tcPr>
            <w:tcW w:type="dxa" w:w="2041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142" w:lineRule="exact"/>
            </w:pPr>
            <w:r>
              <w:rPr>
                <w:b w:val="0"/>
                <w:sz w:val="2"/>
              </w:rPr>
              <w:t xml:space="preserve"> </w:t>
            </w:r>
          </w:p>
          <w:p>
            <w:pPr>
              <w:spacing w:before="0" w:after="0"/>
              <w:jc w:val="right"/>
            </w:pPr>
            <w:r>
              <w:rPr>
                <w:b w:val="0"/>
                <w:color w:val="64748B"/>
                <w:sz w:val="19"/>
              </w:rPr>
              <w:t>2011 – 2014</w:t>
            </w:r>
          </w:p>
        </w:tc>
      </w:tr>
    </w:tbl>
    <w:p>
      <w:pPr>
        <w:spacing w:before="0" w:after="40"/>
        <w:ind w:left="255" w:hanging="255"/>
      </w:pPr>
      <w:r>
        <w:rPr>
          <w:b w:val="0"/>
          <w:sz w:val="21"/>
        </w:rPr>
        <w:t>–  Mediciones, comparativos de ofertas y estudios de costes con Presto.</w:t>
      </w:r>
    </w:p>
    <w:p>
      <w:pPr>
        <w:spacing w:before="400" w:after="120"/>
      </w:pPr>
      <w:r>
        <w:rPr>
          <w:b/>
          <w:color w:val="64748B"/>
          <w:sz w:val="18"/>
          <w:spacing w:val="50"/>
        </w:rPr>
        <w:t>FORMACIÓN</w:t>
      </w:r>
    </w:p>
    <w:tbl>
      <w:tblPr>
        <w:tblW w:type="dxa" w:w="9072"/>
        <w:tblLayout w:type="fixed"/>
        <w:tblLook w:firstColumn="1" w:firstRow="1" w:lastColumn="0" w:lastRow="0" w:noHBand="0" w:noVBand="1" w:val="04A0"/>
      </w:tblPr>
      <w:tblGrid>
        <w:gridCol w:w="7030"/>
        <w:gridCol w:w="2041"/>
      </w:tblGrid>
      <w:tr>
        <w:tc>
          <w:tcPr>
            <w:tcW w:type="dxa" w:w="7030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142" w:lineRule="exact"/>
            </w:pPr>
            <w:r>
              <w:rPr>
                <w:b w:val="0"/>
                <w:sz w:val="2"/>
              </w:rPr>
              <w:t xml:space="preserve"> </w:t>
            </w:r>
          </w:p>
          <w:p>
            <w:pPr>
              <w:spacing w:before="0" w:after="0"/>
            </w:pPr>
            <w:r>
              <w:rPr>
                <w:b/>
                <w:sz w:val="23"/>
              </w:rPr>
              <w:t>Máster en Gestión de Proyectos de Construcción</w:t>
            </w:r>
            <w:r>
              <w:rPr>
                <w:b w:val="0"/>
                <w:color w:val="64748B"/>
                <w:sz w:val="20"/>
              </w:rPr>
              <w:t xml:space="preserve">   Universidad de Valladolid</w:t>
            </w:r>
          </w:p>
        </w:tc>
        <w:tc>
          <w:tcPr>
            <w:tcW w:type="dxa" w:w="2041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142" w:lineRule="exact"/>
            </w:pPr>
            <w:r>
              <w:rPr>
                <w:b w:val="0"/>
                <w:sz w:val="2"/>
              </w:rPr>
              <w:t xml:space="preserve"> </w:t>
            </w:r>
          </w:p>
          <w:p>
            <w:pPr>
              <w:spacing w:before="0" w:after="0"/>
              <w:jc w:val="right"/>
            </w:pPr>
            <w:r>
              <w:rPr>
                <w:b w:val="0"/>
                <w:color w:val="64748B"/>
                <w:sz w:val="19"/>
              </w:rPr>
              <w:t>2015 – 2016</w:t>
            </w:r>
          </w:p>
        </w:tc>
      </w:tr>
    </w:tbl>
    <w:tbl>
      <w:tblPr>
        <w:tblW w:type="dxa" w:w="9072"/>
        <w:tblLayout w:type="fixed"/>
        <w:tblLook w:firstColumn="1" w:firstRow="1" w:lastColumn="0" w:lastRow="0" w:noHBand="0" w:noVBand="1" w:val="04A0"/>
      </w:tblPr>
      <w:tblGrid>
        <w:gridCol w:w="7030"/>
        <w:gridCol w:w="2041"/>
      </w:tblGrid>
      <w:tr>
        <w:tc>
          <w:tcPr>
            <w:tcW w:type="dxa" w:w="7030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142" w:lineRule="exact"/>
            </w:pPr>
            <w:r>
              <w:rPr>
                <w:b w:val="0"/>
                <w:sz w:val="2"/>
              </w:rPr>
              <w:t xml:space="preserve"> </w:t>
            </w:r>
          </w:p>
          <w:p>
            <w:pPr>
              <w:spacing w:before="0" w:after="0"/>
            </w:pPr>
            <w:r>
              <w:rPr>
                <w:b/>
                <w:sz w:val="23"/>
              </w:rPr>
              <w:t>Grado en Arquitectura Técnica</w:t>
            </w:r>
            <w:r>
              <w:rPr>
                <w:b w:val="0"/>
                <w:color w:val="64748B"/>
                <w:sz w:val="20"/>
              </w:rPr>
              <w:t xml:space="preserve">   Universidad de Burgos</w:t>
            </w:r>
          </w:p>
        </w:tc>
        <w:tc>
          <w:tcPr>
            <w:tcW w:type="dxa" w:w="2041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142" w:lineRule="exact"/>
            </w:pPr>
            <w:r>
              <w:rPr>
                <w:b w:val="0"/>
                <w:sz w:val="2"/>
              </w:rPr>
              <w:t xml:space="preserve"> </w:t>
            </w:r>
          </w:p>
          <w:p>
            <w:pPr>
              <w:spacing w:before="0" w:after="0"/>
              <w:jc w:val="right"/>
            </w:pPr>
            <w:r>
              <w:rPr>
                <w:b w:val="0"/>
                <w:color w:val="64748B"/>
                <w:sz w:val="19"/>
              </w:rPr>
              <w:t>2007 – 2011</w:t>
            </w:r>
          </w:p>
        </w:tc>
      </w:tr>
    </w:tbl>
    <w:tbl>
      <w:tblPr>
        <w:tblW w:type="dxa" w:w="9072"/>
        <w:tblLayout w:type="fixed"/>
        <w:tblLook w:firstColumn="1" w:firstRow="1" w:lastColumn="0" w:lastRow="0" w:noHBand="0" w:noVBand="1" w:val="04A0"/>
      </w:tblPr>
      <w:tblGrid>
        <w:gridCol w:w="7030"/>
        <w:gridCol w:w="2041"/>
      </w:tblGrid>
      <w:tr>
        <w:tc>
          <w:tcPr>
            <w:tcW w:type="dxa" w:w="7030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142" w:lineRule="exact"/>
            </w:pPr>
            <w:r>
              <w:rPr>
                <w:b w:val="0"/>
                <w:sz w:val="2"/>
              </w:rPr>
              <w:t xml:space="preserve"> </w:t>
            </w:r>
          </w:p>
          <w:p>
            <w:pPr>
              <w:spacing w:before="0" w:after="0"/>
            </w:pPr>
            <w:r>
              <w:rPr>
                <w:b/>
                <w:sz w:val="23"/>
              </w:rPr>
              <w:t>Coordinador de seguridad y salud en obras</w:t>
            </w:r>
            <w:r>
              <w:rPr>
                <w:b w:val="0"/>
                <w:color w:val="64748B"/>
                <w:sz w:val="20"/>
              </w:rPr>
              <w:t xml:space="preserve">   Colegio de Aparejadores de Valladolid</w:t>
            </w:r>
          </w:p>
        </w:tc>
        <w:tc>
          <w:tcPr>
            <w:tcW w:type="dxa" w:w="2041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142" w:lineRule="exact"/>
            </w:pPr>
            <w:r>
              <w:rPr>
                <w:b w:val="0"/>
                <w:sz w:val="2"/>
              </w:rPr>
              <w:t xml:space="preserve"> </w:t>
            </w:r>
          </w:p>
          <w:p>
            <w:pPr>
              <w:spacing w:before="0" w:after="0"/>
              <w:jc w:val="right"/>
            </w:pPr>
            <w:r>
              <w:rPr>
                <w:b w:val="0"/>
                <w:color w:val="64748B"/>
                <w:sz w:val="19"/>
              </w:rPr>
              <w:t>2019</w:t>
            </w:r>
          </w:p>
        </w:tc>
      </w:tr>
    </w:tbl>
    <w:p>
      <w:pPr>
        <w:spacing w:before="400" w:after="120"/>
      </w:pPr>
      <w:r>
        <w:rPr>
          <w:b/>
          <w:color w:val="64748B"/>
          <w:sz w:val="18"/>
          <w:spacing w:val="50"/>
        </w:rPr>
        <w:t>HABILIDADES</w:t>
      </w:r>
    </w:p>
    <w:p>
      <w:pPr>
        <w:spacing w:before="0" w:after="80"/>
      </w:pPr>
      <w:r>
        <w:rPr>
          <w:b w:val="0"/>
          <w:sz w:val="21"/>
        </w:rPr>
        <w:t>Planificación de obra   ·   Control de costes   ·   Presto   ·   MS Project   ·   Seguridad y salud   ·   Gestión de subcontratas   ·   BIM Revit</w:t>
      </w:r>
    </w:p>
    <w:p>
      <w:pPr>
        <w:spacing w:before="400" w:after="120"/>
      </w:pPr>
      <w:r>
        <w:rPr>
          <w:b/>
          <w:color w:val="64748B"/>
          <w:sz w:val="18"/>
          <w:spacing w:val="50"/>
        </w:rPr>
        <w:t>IDIOMAS</w:t>
      </w:r>
    </w:p>
    <w:p>
      <w:pPr>
        <w:spacing w:before="0" w:after="80"/>
      </w:pPr>
      <w:r>
        <w:rPr>
          <w:b w:val="0"/>
          <w:sz w:val="21"/>
        </w:rPr>
        <w:t>Español nativo   ·   Inglés B2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4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